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A38BB" w14:textId="74D28742" w:rsidR="005B1489" w:rsidRPr="005B1489" w:rsidRDefault="005B1489" w:rsidP="005B1489">
      <w:pPr>
        <w:tabs>
          <w:tab w:val="center" w:pos="4536"/>
          <w:tab w:val="right" w:pos="9072"/>
        </w:tabs>
        <w:jc w:val="both"/>
        <w:rPr>
          <w:rFonts w:ascii="Arial" w:eastAsia="宋体" w:hAnsi="Arial" w:cs="Arial"/>
          <w:b/>
          <w:bCs/>
          <w:sz w:val="22"/>
          <w:lang w:eastAsia="zh-CN"/>
        </w:rPr>
      </w:pPr>
      <w:r w:rsidRPr="005B1489">
        <w:rPr>
          <w:rFonts w:ascii="Arial" w:eastAsia="MS Mincho" w:hAnsi="Arial" w:cs="Arial"/>
          <w:b/>
          <w:bCs/>
          <w:sz w:val="22"/>
        </w:rPr>
        <w:t xml:space="preserve">3GPP TSG RAN WG1 Meeting </w:t>
      </w:r>
      <w:r w:rsidRPr="005B1489">
        <w:rPr>
          <w:rFonts w:ascii="Arial" w:eastAsia="宋体" w:hAnsi="Arial" w:cs="Arial"/>
          <w:b/>
          <w:bCs/>
          <w:sz w:val="22"/>
          <w:lang w:eastAsia="zh-CN"/>
        </w:rPr>
        <w:t>AH 1801</w:t>
      </w:r>
      <w:r w:rsidRPr="005B1489">
        <w:rPr>
          <w:rFonts w:ascii="Arial" w:eastAsia="MS Mincho" w:hAnsi="Arial" w:cs="Arial"/>
          <w:b/>
          <w:bCs/>
          <w:sz w:val="22"/>
        </w:rPr>
        <w:tab/>
      </w:r>
      <w:r w:rsidRPr="005B1489">
        <w:rPr>
          <w:rFonts w:ascii="Arial" w:eastAsia="MS Mincho" w:hAnsi="Arial" w:cs="Arial"/>
          <w:b/>
          <w:bCs/>
          <w:sz w:val="22"/>
        </w:rPr>
        <w:tab/>
        <w:t>R1-1800</w:t>
      </w:r>
      <w:r>
        <w:rPr>
          <w:rFonts w:ascii="Arial" w:eastAsia="MS Mincho" w:hAnsi="Arial" w:cs="Arial"/>
          <w:b/>
          <w:bCs/>
          <w:sz w:val="22"/>
        </w:rPr>
        <w:t>207</w:t>
      </w:r>
    </w:p>
    <w:p w14:paraId="592F21E4" w14:textId="77777777" w:rsidR="005B1489" w:rsidRPr="005B1489" w:rsidRDefault="005B1489" w:rsidP="005B1489">
      <w:pPr>
        <w:tabs>
          <w:tab w:val="center" w:pos="4536"/>
          <w:tab w:val="right" w:pos="9072"/>
        </w:tabs>
        <w:rPr>
          <w:rFonts w:ascii="Arial" w:eastAsia="宋体" w:hAnsi="Arial" w:cs="Arial"/>
          <w:b/>
          <w:bCs/>
          <w:sz w:val="22"/>
          <w:szCs w:val="22"/>
          <w:lang w:eastAsia="zh-CN"/>
        </w:rPr>
      </w:pPr>
      <w:r w:rsidRPr="005B1489">
        <w:rPr>
          <w:rFonts w:ascii="Arial" w:eastAsia="宋体" w:hAnsi="Arial"/>
          <w:b/>
          <w:sz w:val="22"/>
          <w:lang w:eastAsia="zh-CN"/>
        </w:rPr>
        <w:t>Vancouver, Canada, January 22</w:t>
      </w:r>
      <w:r w:rsidRPr="005B1489">
        <w:rPr>
          <w:rFonts w:ascii="Arial" w:eastAsia="宋体" w:hAnsi="Arial"/>
          <w:b/>
          <w:sz w:val="22"/>
          <w:vertAlign w:val="superscript"/>
          <w:lang w:eastAsia="zh-CN"/>
        </w:rPr>
        <w:t>nd</w:t>
      </w:r>
      <w:r w:rsidRPr="005B1489">
        <w:rPr>
          <w:rFonts w:ascii="Arial" w:eastAsia="宋体" w:hAnsi="Arial"/>
          <w:b/>
          <w:sz w:val="22"/>
          <w:lang w:eastAsia="zh-CN"/>
        </w:rPr>
        <w:t xml:space="preserve"> – 26</w:t>
      </w:r>
      <w:r w:rsidRPr="005B1489">
        <w:rPr>
          <w:rFonts w:ascii="Arial" w:eastAsia="宋体" w:hAnsi="Arial"/>
          <w:b/>
          <w:sz w:val="22"/>
          <w:vertAlign w:val="superscript"/>
          <w:lang w:eastAsia="zh-CN"/>
        </w:rPr>
        <w:t>th</w:t>
      </w:r>
      <w:r w:rsidRPr="005B1489">
        <w:rPr>
          <w:rFonts w:ascii="Arial" w:eastAsia="宋体" w:hAnsi="Arial"/>
          <w:b/>
          <w:sz w:val="22"/>
          <w:lang w:eastAsia="zh-CN"/>
        </w:rPr>
        <w:t>, 2018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531005E4"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1B687C" w:rsidRPr="001B687C">
        <w:rPr>
          <w:rFonts w:cs="Arial"/>
        </w:rPr>
        <w:t>Other aspects on carrier aggregation</w:t>
      </w:r>
    </w:p>
    <w:p w14:paraId="6723D380" w14:textId="5BBFFB2E"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1C1665">
        <w:rPr>
          <w:rFonts w:eastAsia="宋体" w:cs="Arial"/>
          <w:lang w:eastAsia="zh-CN"/>
        </w:rPr>
        <w:t>3.</w:t>
      </w:r>
      <w:r w:rsidR="00001576">
        <w:rPr>
          <w:rFonts w:eastAsia="宋体" w:cs="Arial"/>
          <w:lang w:eastAsia="zh-CN"/>
        </w:rPr>
        <w:t>4.2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2B3AC292" w14:textId="5E2061E2" w:rsidR="00AA5C32" w:rsidRDefault="00791FCD" w:rsidP="009C4C06">
      <w:pPr>
        <w:pStyle w:val="a0"/>
        <w:spacing w:after="0"/>
        <w:rPr>
          <w:rFonts w:eastAsia="宋体"/>
          <w:lang w:eastAsia="zh-CN"/>
        </w:rPr>
      </w:pPr>
      <w:r>
        <w:rPr>
          <w:rFonts w:eastAsia="宋体"/>
          <w:lang w:eastAsia="zh-CN"/>
        </w:rPr>
        <w:t>Some remaining open issues of supporting carrier aggregation for NR have been discussed in the previous meeting</w:t>
      </w:r>
      <w:r w:rsidR="00AA5C32">
        <w:rPr>
          <w:rFonts w:eastAsia="宋体"/>
          <w:lang w:eastAsia="zh-CN"/>
        </w:rPr>
        <w:t xml:space="preserve"> </w:t>
      </w:r>
      <w:r w:rsidR="00AA5C32">
        <w:rPr>
          <w:rFonts w:eastAsia="宋体"/>
          <w:lang w:eastAsia="zh-CN"/>
        </w:rPr>
        <w:fldChar w:fldCharType="begin"/>
      </w:r>
      <w:r w:rsidR="00AA5C32">
        <w:rPr>
          <w:rFonts w:eastAsia="宋体"/>
          <w:lang w:eastAsia="zh-CN"/>
        </w:rPr>
        <w:instrText xml:space="preserve"> REF _Ref489688782 \r \h </w:instrText>
      </w:r>
      <w:r w:rsidR="00AA5C32">
        <w:rPr>
          <w:rFonts w:eastAsia="宋体"/>
          <w:lang w:eastAsia="zh-CN"/>
        </w:rPr>
      </w:r>
      <w:r w:rsidR="00AA5C32">
        <w:rPr>
          <w:rFonts w:eastAsia="宋体"/>
          <w:lang w:eastAsia="zh-CN"/>
        </w:rPr>
        <w:fldChar w:fldCharType="separate"/>
      </w:r>
      <w:r w:rsidR="008D6D65">
        <w:rPr>
          <w:rFonts w:eastAsia="宋体"/>
          <w:lang w:eastAsia="zh-CN"/>
        </w:rPr>
        <w:t>[1]</w:t>
      </w:r>
      <w:r w:rsidR="00AA5C32">
        <w:rPr>
          <w:rFonts w:eastAsia="宋体"/>
          <w:lang w:eastAsia="zh-CN"/>
        </w:rPr>
        <w:fldChar w:fldCharType="end"/>
      </w:r>
      <w:r>
        <w:rPr>
          <w:rFonts w:eastAsia="宋体"/>
          <w:lang w:eastAsia="zh-CN"/>
        </w:rPr>
        <w:t>, and the following agreements are achieved</w:t>
      </w:r>
      <w:r w:rsidR="00AA5C32">
        <w:rPr>
          <w:rFonts w:eastAsia="宋体"/>
          <w:lang w:eastAsia="zh-CN"/>
        </w:rPr>
        <w:t>:</w:t>
      </w:r>
    </w:p>
    <w:p w14:paraId="286A93C8" w14:textId="77777777" w:rsidR="00AA5C32" w:rsidRPr="001300DB" w:rsidRDefault="00AA5C32" w:rsidP="00AA5C32">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AA5C32" w:rsidRPr="00791FCD" w14:paraId="3C7A6799" w14:textId="77777777" w:rsidTr="00A00A2A">
        <w:trPr>
          <w:trHeight w:val="212"/>
        </w:trPr>
        <w:tc>
          <w:tcPr>
            <w:tcW w:w="9141" w:type="dxa"/>
            <w:shd w:val="clear" w:color="auto" w:fill="auto"/>
          </w:tcPr>
          <w:p w14:paraId="0B804A6C" w14:textId="77777777" w:rsidR="00791FCD" w:rsidRPr="00791FCD" w:rsidRDefault="00791FCD" w:rsidP="00791FCD">
            <w:pPr>
              <w:rPr>
                <w:sz w:val="20"/>
                <w:szCs w:val="20"/>
              </w:rPr>
            </w:pPr>
            <w:r w:rsidRPr="00791FCD">
              <w:rPr>
                <w:sz w:val="20"/>
                <w:szCs w:val="20"/>
                <w:highlight w:val="green"/>
              </w:rPr>
              <w:t>Agreements</w:t>
            </w:r>
            <w:r w:rsidRPr="00791FCD">
              <w:rPr>
                <w:sz w:val="20"/>
                <w:szCs w:val="20"/>
              </w:rPr>
              <w:t>:</w:t>
            </w:r>
          </w:p>
          <w:p w14:paraId="53B3CE73" w14:textId="77777777" w:rsidR="00791FCD" w:rsidRPr="00791FCD" w:rsidRDefault="00791FCD" w:rsidP="00791FCD">
            <w:pPr>
              <w:numPr>
                <w:ilvl w:val="0"/>
                <w:numId w:val="29"/>
              </w:numPr>
              <w:rPr>
                <w:sz w:val="20"/>
                <w:szCs w:val="20"/>
              </w:rPr>
            </w:pPr>
            <w:r w:rsidRPr="00791FCD">
              <w:rPr>
                <w:sz w:val="20"/>
                <w:szCs w:val="20"/>
              </w:rPr>
              <w:t>NR supports separate configuration of HARQ-ACK spatial bundling for PUSCH and PUCCH</w:t>
            </w:r>
          </w:p>
          <w:p w14:paraId="3403FAFA" w14:textId="77777777" w:rsidR="00791FCD" w:rsidRPr="00791FCD" w:rsidRDefault="00791FCD" w:rsidP="00791FCD">
            <w:pPr>
              <w:rPr>
                <w:sz w:val="20"/>
                <w:szCs w:val="20"/>
              </w:rPr>
            </w:pPr>
            <w:r w:rsidRPr="00791FCD">
              <w:rPr>
                <w:sz w:val="20"/>
                <w:szCs w:val="20"/>
                <w:highlight w:val="green"/>
              </w:rPr>
              <w:t>Agreements</w:t>
            </w:r>
            <w:r w:rsidRPr="00791FCD">
              <w:rPr>
                <w:sz w:val="20"/>
                <w:szCs w:val="20"/>
              </w:rPr>
              <w:t>:</w:t>
            </w:r>
          </w:p>
          <w:p w14:paraId="17C02390" w14:textId="77777777" w:rsidR="00791FCD" w:rsidRPr="00791FCD" w:rsidRDefault="00791FCD" w:rsidP="00791FCD">
            <w:pPr>
              <w:numPr>
                <w:ilvl w:val="0"/>
                <w:numId w:val="30"/>
              </w:numPr>
              <w:rPr>
                <w:sz w:val="20"/>
                <w:szCs w:val="20"/>
              </w:rPr>
            </w:pPr>
            <w:r w:rsidRPr="00791FCD">
              <w:rPr>
                <w:sz w:val="20"/>
                <w:szCs w:val="20"/>
              </w:rPr>
              <w:t>For cross-carrier scheduling, NR support UESS sharing in case of same DCI size for DCIs of different carriers on the same scheduling carrier, as an optional feature (additional UE capability for UEs that are capable of cross-carrier scheduling)</w:t>
            </w:r>
          </w:p>
          <w:p w14:paraId="43F075C0" w14:textId="77777777" w:rsidR="00791FCD" w:rsidRPr="00791FCD" w:rsidRDefault="00791FCD" w:rsidP="00791FCD">
            <w:pPr>
              <w:rPr>
                <w:sz w:val="20"/>
                <w:szCs w:val="20"/>
              </w:rPr>
            </w:pPr>
            <w:r w:rsidRPr="00791FCD">
              <w:rPr>
                <w:sz w:val="20"/>
                <w:szCs w:val="20"/>
                <w:highlight w:val="green"/>
              </w:rPr>
              <w:t>Agreements</w:t>
            </w:r>
            <w:r w:rsidRPr="00791FCD">
              <w:rPr>
                <w:sz w:val="20"/>
                <w:szCs w:val="20"/>
              </w:rPr>
              <w:t>:</w:t>
            </w:r>
          </w:p>
          <w:p w14:paraId="7AE22F59" w14:textId="77777777" w:rsidR="00791FCD" w:rsidRPr="00791FCD" w:rsidRDefault="00791FCD" w:rsidP="00791FCD">
            <w:pPr>
              <w:numPr>
                <w:ilvl w:val="0"/>
                <w:numId w:val="26"/>
              </w:numPr>
              <w:rPr>
                <w:sz w:val="20"/>
                <w:szCs w:val="20"/>
              </w:rPr>
            </w:pPr>
            <w:r w:rsidRPr="00791FCD">
              <w:rPr>
                <w:sz w:val="20"/>
                <w:szCs w:val="20"/>
              </w:rPr>
              <w:t>For semi-static HARQ-ACK codebook, support</w:t>
            </w:r>
          </w:p>
          <w:p w14:paraId="523F590D" w14:textId="77777777" w:rsidR="00791FCD" w:rsidRPr="00791FCD" w:rsidRDefault="00791FCD" w:rsidP="00791FCD">
            <w:pPr>
              <w:numPr>
                <w:ilvl w:val="1"/>
                <w:numId w:val="26"/>
              </w:numPr>
              <w:rPr>
                <w:sz w:val="20"/>
                <w:szCs w:val="20"/>
              </w:rPr>
            </w:pPr>
            <w:r w:rsidRPr="00791FCD">
              <w:rPr>
                <w:sz w:val="20"/>
                <w:szCs w:val="20"/>
              </w:rPr>
              <w:t>DL association set is determined based on the configured set of HARQ-ACK timings, where the HARQ-ACK payload is ordered based on DL time index</w:t>
            </w:r>
          </w:p>
          <w:p w14:paraId="63481AF7" w14:textId="77777777" w:rsidR="00791FCD" w:rsidRPr="00791FCD" w:rsidRDefault="00791FCD" w:rsidP="00791FCD">
            <w:pPr>
              <w:numPr>
                <w:ilvl w:val="2"/>
                <w:numId w:val="26"/>
              </w:numPr>
              <w:rPr>
                <w:sz w:val="20"/>
                <w:szCs w:val="20"/>
              </w:rPr>
            </w:pPr>
            <w:r w:rsidRPr="00791FCD">
              <w:rPr>
                <w:sz w:val="20"/>
                <w:szCs w:val="20"/>
              </w:rPr>
              <w:t>There is no DAI in DL grants</w:t>
            </w:r>
          </w:p>
          <w:p w14:paraId="603F6E5D" w14:textId="77777777" w:rsidR="00791FCD" w:rsidRPr="00791FCD" w:rsidRDefault="00791FCD" w:rsidP="00791FCD">
            <w:pPr>
              <w:rPr>
                <w:sz w:val="20"/>
                <w:szCs w:val="20"/>
              </w:rPr>
            </w:pPr>
            <w:r w:rsidRPr="00791FCD">
              <w:rPr>
                <w:sz w:val="20"/>
                <w:szCs w:val="20"/>
                <w:u w:val="single"/>
              </w:rPr>
              <w:t>Conclusion</w:t>
            </w:r>
            <w:r w:rsidRPr="00791FCD">
              <w:rPr>
                <w:sz w:val="20"/>
                <w:szCs w:val="20"/>
              </w:rPr>
              <w:t>:</w:t>
            </w:r>
          </w:p>
          <w:p w14:paraId="7C79D08E" w14:textId="77777777" w:rsidR="00791FCD" w:rsidRPr="00791FCD" w:rsidRDefault="00791FCD" w:rsidP="00791FCD">
            <w:pPr>
              <w:numPr>
                <w:ilvl w:val="0"/>
                <w:numId w:val="27"/>
              </w:numPr>
              <w:rPr>
                <w:sz w:val="20"/>
                <w:szCs w:val="20"/>
              </w:rPr>
            </w:pPr>
            <w:r w:rsidRPr="00791FCD">
              <w:rPr>
                <w:sz w:val="20"/>
                <w:szCs w:val="20"/>
              </w:rPr>
              <w:t>No consensus to introduce CBG-level DAI in DCI in Rel-15</w:t>
            </w:r>
          </w:p>
          <w:p w14:paraId="6842D191" w14:textId="77777777" w:rsidR="00791FCD" w:rsidRPr="00791FCD" w:rsidRDefault="00791FCD" w:rsidP="00791FCD">
            <w:pPr>
              <w:rPr>
                <w:sz w:val="20"/>
              </w:rPr>
            </w:pPr>
          </w:p>
          <w:p w14:paraId="666E9CC9" w14:textId="77777777" w:rsidR="00791FCD" w:rsidRPr="00791FCD" w:rsidRDefault="00791FCD" w:rsidP="00791FCD">
            <w:pPr>
              <w:rPr>
                <w:sz w:val="20"/>
                <w:szCs w:val="20"/>
              </w:rPr>
            </w:pPr>
            <w:r w:rsidRPr="00791FCD">
              <w:rPr>
                <w:sz w:val="20"/>
                <w:szCs w:val="20"/>
                <w:highlight w:val="green"/>
              </w:rPr>
              <w:t>Agreements</w:t>
            </w:r>
            <w:r w:rsidRPr="00791FCD">
              <w:rPr>
                <w:sz w:val="20"/>
                <w:szCs w:val="20"/>
              </w:rPr>
              <w:t>:</w:t>
            </w:r>
          </w:p>
          <w:p w14:paraId="3C81C78D" w14:textId="77777777" w:rsidR="00791FCD" w:rsidRPr="00791FCD" w:rsidRDefault="00791FCD" w:rsidP="00791FCD">
            <w:pPr>
              <w:numPr>
                <w:ilvl w:val="0"/>
                <w:numId w:val="28"/>
              </w:numPr>
              <w:rPr>
                <w:sz w:val="20"/>
                <w:szCs w:val="20"/>
              </w:rPr>
            </w:pPr>
            <w:r w:rsidRPr="00791FCD">
              <w:rPr>
                <w:sz w:val="20"/>
                <w:szCs w:val="20"/>
              </w:rPr>
              <w:t xml:space="preserve">Generate 2 HARQ-ACK sub-codebooks (sub-CBs) </w:t>
            </w:r>
          </w:p>
          <w:p w14:paraId="59D141B7" w14:textId="77777777" w:rsidR="00791FCD" w:rsidRPr="00791FCD" w:rsidRDefault="00791FCD" w:rsidP="00791FCD">
            <w:pPr>
              <w:numPr>
                <w:ilvl w:val="1"/>
                <w:numId w:val="28"/>
              </w:numPr>
              <w:rPr>
                <w:sz w:val="20"/>
                <w:szCs w:val="20"/>
              </w:rPr>
            </w:pPr>
            <w:r w:rsidRPr="00791FCD">
              <w:rPr>
                <w:sz w:val="20"/>
                <w:szCs w:val="20"/>
              </w:rPr>
              <w:t>First sub-CB is for transmissions with TB-based HARQ-ACK, second sub-CB is for transmissions with CBG-based HARQ-ACK</w:t>
            </w:r>
          </w:p>
          <w:p w14:paraId="4BD2ECFC" w14:textId="77777777" w:rsidR="00791FCD" w:rsidRPr="00791FCD" w:rsidRDefault="00791FCD" w:rsidP="00791FCD">
            <w:pPr>
              <w:numPr>
                <w:ilvl w:val="1"/>
                <w:numId w:val="28"/>
              </w:numPr>
              <w:rPr>
                <w:sz w:val="20"/>
                <w:szCs w:val="20"/>
              </w:rPr>
            </w:pPr>
            <w:r w:rsidRPr="00791FCD">
              <w:rPr>
                <w:sz w:val="20"/>
                <w:szCs w:val="20"/>
              </w:rPr>
              <w:t>The sub-CBs are combined in a single HARQ-ACK codebook (sub-CB for TB-based HARQ-ACK is placed first)</w:t>
            </w:r>
          </w:p>
          <w:p w14:paraId="1B4B8D5A" w14:textId="55E5EE27" w:rsidR="00AA5C32" w:rsidRPr="00791FCD" w:rsidRDefault="00791FCD" w:rsidP="00791FCD">
            <w:pPr>
              <w:numPr>
                <w:ilvl w:val="1"/>
                <w:numId w:val="28"/>
              </w:numPr>
              <w:rPr>
                <w:rFonts w:eastAsiaTheme="minorEastAsia"/>
                <w:b/>
                <w:sz w:val="20"/>
                <w:lang w:eastAsia="zh-CN"/>
              </w:rPr>
            </w:pPr>
            <w:r w:rsidRPr="00791FCD">
              <w:rPr>
                <w:sz w:val="20"/>
                <w:szCs w:val="20"/>
              </w:rPr>
              <w:t>No additional reliability enhancements</w:t>
            </w:r>
          </w:p>
        </w:tc>
      </w:tr>
    </w:tbl>
    <w:p w14:paraId="60FE57F3" w14:textId="77777777" w:rsidR="001B687C" w:rsidRDefault="001B687C" w:rsidP="009C4C06">
      <w:pPr>
        <w:pStyle w:val="a0"/>
        <w:spacing w:after="0"/>
        <w:rPr>
          <w:rFonts w:eastAsia="宋体"/>
          <w:lang w:eastAsia="zh-CN"/>
        </w:rPr>
      </w:pPr>
    </w:p>
    <w:p w14:paraId="31717B76" w14:textId="50594A57" w:rsidR="009C4C06" w:rsidRDefault="003367CC" w:rsidP="009C4C06">
      <w:pPr>
        <w:pStyle w:val="a0"/>
        <w:spacing w:after="0"/>
        <w:rPr>
          <w:rFonts w:eastAsia="宋体"/>
          <w:lang w:eastAsia="zh-CN"/>
        </w:rPr>
      </w:pPr>
      <w:r>
        <w:rPr>
          <w:rFonts w:eastAsia="宋体"/>
          <w:lang w:eastAsia="zh-CN"/>
        </w:rPr>
        <w:t xml:space="preserve">In the contribution, we </w:t>
      </w:r>
      <w:r w:rsidR="003E1967">
        <w:t xml:space="preserve">provide our view on </w:t>
      </w:r>
      <w:r w:rsidR="001B687C">
        <w:t xml:space="preserve">the remaining issues on </w:t>
      </w:r>
      <w:r w:rsidR="001B687C" w:rsidRPr="001B687C">
        <w:rPr>
          <w:rFonts w:cs="Arial"/>
        </w:rPr>
        <w:t>carrier aggregation</w:t>
      </w:r>
      <w:r w:rsidR="00C952F3">
        <w:rPr>
          <w:rFonts w:eastAsia="宋体"/>
          <w:lang w:eastAsia="zh-CN"/>
        </w:rPr>
        <w:t>.</w:t>
      </w:r>
    </w:p>
    <w:p w14:paraId="251B4CFB" w14:textId="51C52601" w:rsidR="001A0D68" w:rsidRPr="00C16E78" w:rsidRDefault="007002EE"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Pr>
          <w:rFonts w:ascii="Arial" w:eastAsia="宋体" w:hAnsi="Arial" w:cs="Times New Roman"/>
          <w:b w:val="0"/>
          <w:bCs w:val="0"/>
          <w:kern w:val="0"/>
          <w:sz w:val="36"/>
          <w:szCs w:val="20"/>
          <w:lang w:eastAsia="zh-CN"/>
        </w:rPr>
        <w:t>Discussion</w:t>
      </w:r>
    </w:p>
    <w:p w14:paraId="786451A3" w14:textId="0F47B6F3" w:rsidR="000C7495" w:rsidRDefault="00791FCD" w:rsidP="00C16E78">
      <w:pPr>
        <w:pStyle w:val="a0"/>
        <w:rPr>
          <w:rFonts w:eastAsiaTheme="minorEastAsia"/>
          <w:u w:val="single"/>
          <w:lang w:eastAsia="zh-CN"/>
        </w:rPr>
      </w:pPr>
      <w:r w:rsidRPr="00791FCD">
        <w:rPr>
          <w:rFonts w:eastAsiaTheme="minorEastAsia"/>
          <w:u w:val="single"/>
          <w:lang w:eastAsia="zh-CN"/>
        </w:rPr>
        <w:t>PUCCH in a cell group</w:t>
      </w:r>
    </w:p>
    <w:p w14:paraId="460B47F0" w14:textId="13A7ABD5" w:rsidR="00791FCD" w:rsidRDefault="00791FCD" w:rsidP="000C7495">
      <w:pPr>
        <w:pStyle w:val="a0"/>
        <w:spacing w:beforeLines="50" w:before="120" w:afterLines="50"/>
        <w:rPr>
          <w:rFonts w:eastAsia="宋体"/>
          <w:lang w:eastAsia="zh-CN"/>
        </w:rPr>
      </w:pPr>
      <w:r>
        <w:rPr>
          <w:rFonts w:eastAsia="宋体"/>
          <w:lang w:eastAsia="zh-CN"/>
        </w:rPr>
        <w:t>Starting from Rel-8 in LTE, the PUCCH can only be configured in the P</w:t>
      </w:r>
      <w:r w:rsidR="005C7228">
        <w:rPr>
          <w:rFonts w:eastAsia="宋体"/>
          <w:lang w:eastAsia="zh-CN"/>
        </w:rPr>
        <w:t>c</w:t>
      </w:r>
      <w:r>
        <w:rPr>
          <w:rFonts w:eastAsia="宋体"/>
          <w:lang w:eastAsia="zh-CN"/>
        </w:rPr>
        <w:t>ell</w:t>
      </w:r>
      <w:r w:rsidR="000C7495">
        <w:rPr>
          <w:rFonts w:eastAsia="宋体" w:hint="eastAsia"/>
          <w:lang w:eastAsia="zh-CN"/>
        </w:rPr>
        <w:t>.</w:t>
      </w:r>
      <w:r>
        <w:rPr>
          <w:rFonts w:eastAsia="宋体"/>
          <w:lang w:eastAsia="zh-CN"/>
        </w:rPr>
        <w:t xml:space="preserve"> </w:t>
      </w:r>
      <w:r w:rsidR="001A126A">
        <w:rPr>
          <w:rFonts w:eastAsia="宋体"/>
          <w:lang w:eastAsia="zh-CN"/>
        </w:rPr>
        <w:t>Reconfiguring the PUCCH onto a different carrier requires a heavy handover procedure that may bring in some service interruption time. This framework can be improved in NR; more specifically, t</w:t>
      </w:r>
      <w:r w:rsidRPr="00791FCD">
        <w:rPr>
          <w:rFonts w:eastAsia="宋体"/>
          <w:lang w:eastAsia="zh-CN"/>
        </w:rPr>
        <w:t xml:space="preserve">he PUCCH in one cell group can be configured on any </w:t>
      </w:r>
      <w:r w:rsidR="005C7228">
        <w:rPr>
          <w:rFonts w:eastAsia="宋体"/>
          <w:lang w:eastAsia="zh-CN"/>
        </w:rPr>
        <w:t xml:space="preserve">uplink </w:t>
      </w:r>
      <w:r w:rsidRPr="00791FCD">
        <w:rPr>
          <w:rFonts w:eastAsia="宋体"/>
          <w:lang w:eastAsia="zh-CN"/>
        </w:rPr>
        <w:t>carrier within the cell group.</w:t>
      </w:r>
      <w:r>
        <w:rPr>
          <w:rFonts w:eastAsia="宋体"/>
          <w:lang w:eastAsia="zh-CN"/>
        </w:rPr>
        <w:t xml:space="preserve"> By this way, the </w:t>
      </w:r>
      <w:r w:rsidR="005C7228">
        <w:rPr>
          <w:rFonts w:eastAsia="宋体"/>
          <w:lang w:eastAsia="zh-CN"/>
        </w:rPr>
        <w:t>best uplink carrier can be selected for PUCCH transmission without a heavy Pcell change procedure</w:t>
      </w:r>
      <w:r w:rsidR="001A126A">
        <w:rPr>
          <w:rFonts w:eastAsia="宋体"/>
          <w:lang w:eastAsia="zh-CN"/>
        </w:rPr>
        <w:t xml:space="preserve">, and the load balancing for PUCCH can be easily performed. </w:t>
      </w:r>
      <w:r w:rsidR="000A3050">
        <w:rPr>
          <w:rFonts w:eastAsia="宋体"/>
          <w:lang w:eastAsia="zh-CN"/>
        </w:rPr>
        <w:t>It is worth noting that such behavior is somehow supported in NR, where the PUCCH can already be reconfigured between SUL and non-SUL. It can be easily extended to the CA deployment.</w:t>
      </w:r>
    </w:p>
    <w:p w14:paraId="083848CC" w14:textId="1B489050" w:rsidR="000C7495" w:rsidRDefault="000C7495" w:rsidP="00C16E78">
      <w:pPr>
        <w:rPr>
          <w:rFonts w:eastAsiaTheme="minorEastAsia"/>
          <w:b/>
          <w:bCs/>
          <w:szCs w:val="20"/>
          <w:lang w:eastAsia="zh-CN"/>
        </w:rPr>
      </w:pPr>
      <w:bookmarkStart w:id="2" w:name="_Ref498762968"/>
      <w:r w:rsidRPr="00C16E78">
        <w:rPr>
          <w:b/>
          <w:bCs/>
          <w:sz w:val="20"/>
          <w:szCs w:val="20"/>
        </w:rPr>
        <w:t xml:space="preserve">Proposal </w:t>
      </w:r>
      <w:r w:rsidR="00C16E78" w:rsidRPr="00C16E78">
        <w:rPr>
          <w:b/>
          <w:bCs/>
          <w:sz w:val="20"/>
          <w:szCs w:val="20"/>
        </w:rPr>
        <w:fldChar w:fldCharType="begin"/>
      </w:r>
      <w:r w:rsidR="00C16E78" w:rsidRPr="00C16E78">
        <w:rPr>
          <w:b/>
          <w:bCs/>
          <w:sz w:val="20"/>
          <w:szCs w:val="20"/>
        </w:rPr>
        <w:instrText xml:space="preserve"> SEQ Proposal \* ARABIC </w:instrText>
      </w:r>
      <w:r w:rsidR="00C16E78" w:rsidRPr="00C16E78">
        <w:rPr>
          <w:b/>
          <w:bCs/>
          <w:sz w:val="20"/>
          <w:szCs w:val="20"/>
        </w:rPr>
        <w:fldChar w:fldCharType="separate"/>
      </w:r>
      <w:r w:rsidR="008D6D65">
        <w:rPr>
          <w:b/>
          <w:bCs/>
          <w:noProof/>
          <w:sz w:val="20"/>
          <w:szCs w:val="20"/>
        </w:rPr>
        <w:t>1</w:t>
      </w:r>
      <w:r w:rsidR="00C16E78" w:rsidRPr="00C16E78">
        <w:rPr>
          <w:b/>
          <w:bCs/>
          <w:sz w:val="20"/>
          <w:szCs w:val="20"/>
        </w:rPr>
        <w:fldChar w:fldCharType="end"/>
      </w:r>
      <w:r w:rsidRPr="00C16E78">
        <w:rPr>
          <w:b/>
          <w:bCs/>
          <w:sz w:val="20"/>
          <w:szCs w:val="20"/>
        </w:rPr>
        <w:t xml:space="preserve">: </w:t>
      </w:r>
      <w:r w:rsidR="001A126A">
        <w:rPr>
          <w:b/>
          <w:bCs/>
          <w:sz w:val="20"/>
          <w:szCs w:val="20"/>
        </w:rPr>
        <w:t>PUCCH can be configured on any uplink carrier within the cell group</w:t>
      </w:r>
      <w:r w:rsidRPr="00C16E78">
        <w:rPr>
          <w:b/>
          <w:bCs/>
          <w:sz w:val="20"/>
          <w:szCs w:val="20"/>
        </w:rPr>
        <w:t>.</w:t>
      </w:r>
      <w:bookmarkEnd w:id="2"/>
    </w:p>
    <w:p w14:paraId="3E8785EC" w14:textId="77777777" w:rsidR="000C7495" w:rsidRPr="00C16E78" w:rsidRDefault="000C7495" w:rsidP="00C16E78">
      <w:pPr>
        <w:rPr>
          <w:rFonts w:eastAsiaTheme="minorEastAsia"/>
          <w:b/>
          <w:bCs/>
          <w:szCs w:val="20"/>
          <w:lang w:eastAsia="zh-CN"/>
        </w:rPr>
      </w:pPr>
    </w:p>
    <w:p w14:paraId="3497378A" w14:textId="5E85BC23" w:rsidR="000C7495" w:rsidRPr="00C16E78" w:rsidRDefault="000C7495" w:rsidP="00C16E78">
      <w:pPr>
        <w:pStyle w:val="a0"/>
        <w:rPr>
          <w:rFonts w:eastAsiaTheme="minorEastAsia"/>
          <w:u w:val="single"/>
          <w:lang w:eastAsia="zh-CN"/>
        </w:rPr>
      </w:pPr>
      <w:r>
        <w:rPr>
          <w:rFonts w:eastAsiaTheme="minorEastAsia" w:hint="eastAsia"/>
          <w:u w:val="single"/>
          <w:lang w:eastAsia="zh-CN"/>
        </w:rPr>
        <w:t>Scell activation</w:t>
      </w:r>
      <w:r w:rsidR="005C7228">
        <w:rPr>
          <w:rFonts w:eastAsiaTheme="minorEastAsia"/>
          <w:u w:val="single"/>
          <w:lang w:eastAsia="zh-CN"/>
        </w:rPr>
        <w:t>/deactivation</w:t>
      </w:r>
    </w:p>
    <w:p w14:paraId="06253C92" w14:textId="5D0B011C" w:rsidR="002A3961" w:rsidRDefault="00292824" w:rsidP="00C16E78">
      <w:pPr>
        <w:pStyle w:val="a0"/>
        <w:rPr>
          <w:rFonts w:eastAsiaTheme="minorEastAsia"/>
          <w:lang w:eastAsia="zh-CN"/>
        </w:rPr>
      </w:pPr>
      <w:r w:rsidRPr="00C16E78">
        <w:t>RAN2 has agreed that</w:t>
      </w:r>
      <w:r w:rsidR="00EB2273" w:rsidRPr="00C16E78">
        <w:t xml:space="preserve"> MAC CE is used for Scell activation/deactivation, similar as </w:t>
      </w:r>
      <w:r w:rsidR="00C16E78">
        <w:t xml:space="preserve">that </w:t>
      </w:r>
      <w:r w:rsidR="00EB2273" w:rsidRPr="00C16E78">
        <w:t xml:space="preserve">in LTE. There is still discussion in RAN1 whether additional L1 based Scell activation/deactivation scheme should be supported.  The motivation of introduction additional L1 based scheme is to faster the Scell activation procedure from signaling perspective. </w:t>
      </w:r>
      <w:r w:rsidR="00EB2273">
        <w:rPr>
          <w:rFonts w:eastAsiaTheme="minorEastAsia" w:hint="eastAsia"/>
          <w:lang w:eastAsia="zh-CN"/>
        </w:rPr>
        <w:t xml:space="preserve">However, time consumed for Scell activation is not only caused by signaling delay, but also determined by the other components, including </w:t>
      </w:r>
      <w:r w:rsidR="004A343C">
        <w:t>RF retuning time</w:t>
      </w:r>
      <w:r w:rsidR="00EB2273" w:rsidRPr="00C16E78">
        <w:t xml:space="preserve">, DL synchronization time, etc. </w:t>
      </w:r>
      <w:r w:rsidR="00CA08CB">
        <w:rPr>
          <w:rFonts w:eastAsiaTheme="minorEastAsia" w:hint="eastAsia"/>
          <w:lang w:eastAsia="zh-CN"/>
        </w:rPr>
        <w:t xml:space="preserve">Depending on the exact band combination, the time for RF retuning time and synchronization time may become the dominant </w:t>
      </w:r>
      <w:r w:rsidR="00CA08CB">
        <w:rPr>
          <w:rFonts w:eastAsiaTheme="minorEastAsia" w:hint="eastAsia"/>
          <w:lang w:eastAsia="zh-CN"/>
        </w:rPr>
        <w:lastRenderedPageBreak/>
        <w:t xml:space="preserve">time of Scell </w:t>
      </w:r>
      <w:r w:rsidR="00CB3E8E">
        <w:rPr>
          <w:rFonts w:eastAsiaTheme="minorEastAsia"/>
          <w:lang w:eastAsia="zh-CN"/>
        </w:rPr>
        <w:t>activation;</w:t>
      </w:r>
      <w:r w:rsidR="00CA08CB">
        <w:rPr>
          <w:rFonts w:eastAsiaTheme="minorEastAsia" w:hint="eastAsia"/>
          <w:lang w:eastAsia="zh-CN"/>
        </w:rPr>
        <w:t xml:space="preserve"> the exact time </w:t>
      </w:r>
      <w:r w:rsidR="004E28D9">
        <w:rPr>
          <w:rFonts w:eastAsiaTheme="minorEastAsia" w:hint="eastAsia"/>
          <w:lang w:eastAsia="zh-CN"/>
        </w:rPr>
        <w:t>will be specified in RAN4. Given that such RAN4 RF/RRM requirement has not been conclude for Rel-15, it is not clear how much benefit can be obtained by specifying additionally the L1 based Scell activation scheme</w:t>
      </w:r>
      <w:r w:rsidR="00D364C8">
        <w:rPr>
          <w:rFonts w:eastAsiaTheme="minorEastAsia" w:hint="eastAsia"/>
          <w:lang w:eastAsia="zh-CN"/>
        </w:rPr>
        <w:t xml:space="preserve">. </w:t>
      </w:r>
      <w:r w:rsidR="00CB3E8E">
        <w:rPr>
          <w:rFonts w:eastAsiaTheme="minorEastAsia"/>
          <w:lang w:eastAsia="zh-CN"/>
        </w:rPr>
        <w:t>Therefore,</w:t>
      </w:r>
      <w:r w:rsidR="00D364C8">
        <w:rPr>
          <w:rFonts w:eastAsiaTheme="minorEastAsia" w:hint="eastAsia"/>
          <w:lang w:eastAsia="zh-CN"/>
        </w:rPr>
        <w:t xml:space="preserve"> it is proposed to revisit the issue after RAN4 RF/RRM requirements regarding Scell activation is concluded. </w:t>
      </w:r>
    </w:p>
    <w:p w14:paraId="4BC68EDE" w14:textId="231B03D4" w:rsidR="00513F59" w:rsidRDefault="000C7495" w:rsidP="00C16E78">
      <w:pPr>
        <w:pStyle w:val="a0"/>
        <w:rPr>
          <w:rFonts w:eastAsia="宋体"/>
          <w:b/>
          <w:lang w:eastAsia="zh-CN"/>
        </w:rPr>
      </w:pPr>
      <w:bookmarkStart w:id="3" w:name="_Ref498762977"/>
      <w:r>
        <w:rPr>
          <w:rFonts w:eastAsia="宋体" w:hint="eastAsia"/>
          <w:b/>
          <w:lang w:eastAsia="zh-CN"/>
        </w:rPr>
        <w:t xml:space="preserve">Proposal </w:t>
      </w:r>
      <w:r w:rsidR="00C16E78" w:rsidRPr="00C16E78">
        <w:rPr>
          <w:rFonts w:ascii="Times New Roman" w:hAnsi="Times New Roman"/>
          <w:b/>
          <w:bCs/>
          <w:szCs w:val="20"/>
        </w:rPr>
        <w:fldChar w:fldCharType="begin"/>
      </w:r>
      <w:r w:rsidR="00C16E78" w:rsidRPr="00C16E78">
        <w:rPr>
          <w:rFonts w:ascii="Times New Roman" w:hAnsi="Times New Roman"/>
          <w:b/>
          <w:bCs/>
          <w:szCs w:val="20"/>
        </w:rPr>
        <w:instrText xml:space="preserve"> SEQ Proposal \* ARABIC </w:instrText>
      </w:r>
      <w:r w:rsidR="00C16E78" w:rsidRPr="00C16E78">
        <w:rPr>
          <w:rFonts w:ascii="Times New Roman" w:hAnsi="Times New Roman"/>
          <w:b/>
          <w:bCs/>
          <w:szCs w:val="20"/>
        </w:rPr>
        <w:fldChar w:fldCharType="separate"/>
      </w:r>
      <w:r w:rsidR="008D6D65">
        <w:rPr>
          <w:rFonts w:ascii="Times New Roman" w:hAnsi="Times New Roman"/>
          <w:b/>
          <w:bCs/>
          <w:noProof/>
          <w:szCs w:val="20"/>
        </w:rPr>
        <w:t>2</w:t>
      </w:r>
      <w:r w:rsidR="00C16E78" w:rsidRPr="00C16E78">
        <w:rPr>
          <w:rFonts w:ascii="Times New Roman" w:hAnsi="Times New Roman"/>
          <w:b/>
          <w:bCs/>
          <w:szCs w:val="20"/>
        </w:rPr>
        <w:fldChar w:fldCharType="end"/>
      </w:r>
      <w:r w:rsidR="002A3961">
        <w:rPr>
          <w:rFonts w:eastAsia="宋体" w:hint="eastAsia"/>
          <w:b/>
          <w:lang w:eastAsia="zh-CN"/>
        </w:rPr>
        <w:t xml:space="preserve">: The necessity of L1 based Scell </w:t>
      </w:r>
      <w:r w:rsidR="002A3961">
        <w:rPr>
          <w:rFonts w:eastAsia="宋体"/>
          <w:b/>
          <w:lang w:eastAsia="zh-CN"/>
        </w:rPr>
        <w:t>activation</w:t>
      </w:r>
      <w:r w:rsidR="002A3961">
        <w:rPr>
          <w:rFonts w:eastAsia="宋体" w:hint="eastAsia"/>
          <w:b/>
          <w:lang w:eastAsia="zh-CN"/>
        </w:rPr>
        <w:t xml:space="preserve">/deactivation is revisited after RAN4 </w:t>
      </w:r>
      <w:r w:rsidR="003A6056">
        <w:rPr>
          <w:rFonts w:eastAsia="宋体" w:hint="eastAsia"/>
          <w:b/>
          <w:lang w:eastAsia="zh-CN"/>
        </w:rPr>
        <w:t>RF/RRM requirements regarding Scell activation are</w:t>
      </w:r>
      <w:r w:rsidR="002A3961" w:rsidRPr="00D07343">
        <w:rPr>
          <w:rFonts w:eastAsia="宋体" w:hint="eastAsia"/>
          <w:b/>
          <w:lang w:eastAsia="zh-CN"/>
        </w:rPr>
        <w:t xml:space="preserve"> concluded.</w:t>
      </w:r>
      <w:bookmarkEnd w:id="3"/>
    </w:p>
    <w:p w14:paraId="476B438D" w14:textId="77777777" w:rsidR="008D7B6D" w:rsidRDefault="008D7B6D" w:rsidP="008D7B6D">
      <w:pPr>
        <w:pStyle w:val="a0"/>
        <w:rPr>
          <w:rFonts w:eastAsiaTheme="minorEastAsia"/>
          <w:u w:val="single"/>
          <w:lang w:eastAsia="zh-CN"/>
        </w:rPr>
      </w:pPr>
    </w:p>
    <w:p w14:paraId="786EB8D8" w14:textId="240EDAAE" w:rsidR="008D7B6D" w:rsidRPr="00C16E78" w:rsidRDefault="008D7B6D" w:rsidP="008D7B6D">
      <w:pPr>
        <w:pStyle w:val="a0"/>
        <w:rPr>
          <w:rFonts w:eastAsiaTheme="minorEastAsia"/>
          <w:u w:val="single"/>
          <w:lang w:eastAsia="zh-CN"/>
        </w:rPr>
      </w:pPr>
      <w:r>
        <w:rPr>
          <w:rFonts w:eastAsiaTheme="minorEastAsia" w:hint="eastAsia"/>
          <w:u w:val="single"/>
          <w:lang w:eastAsia="zh-CN"/>
        </w:rPr>
        <w:t>S</w:t>
      </w:r>
      <w:r>
        <w:rPr>
          <w:rFonts w:eastAsiaTheme="minorEastAsia"/>
          <w:u w:val="single"/>
          <w:lang w:eastAsia="zh-CN"/>
        </w:rPr>
        <w:t>UL</w:t>
      </w:r>
      <w:r>
        <w:rPr>
          <w:rFonts w:eastAsiaTheme="minorEastAsia" w:hint="eastAsia"/>
          <w:u w:val="single"/>
          <w:lang w:eastAsia="zh-CN"/>
        </w:rPr>
        <w:t xml:space="preserve"> activation</w:t>
      </w:r>
      <w:r>
        <w:rPr>
          <w:rFonts w:eastAsiaTheme="minorEastAsia"/>
          <w:u w:val="single"/>
          <w:lang w:eastAsia="zh-CN"/>
        </w:rPr>
        <w:t>/deactivation</w:t>
      </w:r>
    </w:p>
    <w:p w14:paraId="4AB61C5F" w14:textId="64918ACC" w:rsidR="008D7B6D" w:rsidRDefault="00577242" w:rsidP="008D7B6D">
      <w:pPr>
        <w:pStyle w:val="a0"/>
        <w:rPr>
          <w:rFonts w:eastAsiaTheme="minorEastAsia"/>
          <w:lang w:eastAsia="zh-CN"/>
        </w:rPr>
      </w:pPr>
      <w:r>
        <w:rPr>
          <w:rFonts w:eastAsiaTheme="minorEastAsia"/>
          <w:lang w:eastAsia="zh-CN"/>
        </w:rPr>
        <w:t>Some carrier of a UE configured with CA can be deactivated for the sake of UE power saving. Such behavior may also be beneficial for SUL carrier motivated by the power saving perspective</w:t>
      </w:r>
      <w:r w:rsidR="008D7B6D">
        <w:rPr>
          <w:rFonts w:eastAsiaTheme="minorEastAsia" w:hint="eastAsia"/>
          <w:lang w:eastAsia="zh-CN"/>
        </w:rPr>
        <w:t>.</w:t>
      </w:r>
      <w:r>
        <w:rPr>
          <w:rFonts w:eastAsiaTheme="minorEastAsia"/>
          <w:lang w:eastAsia="zh-CN"/>
        </w:rPr>
        <w:t xml:space="preserve"> </w:t>
      </w:r>
      <w:r>
        <w:rPr>
          <w:rFonts w:eastAsiaTheme="minorEastAsia" w:hint="eastAsia"/>
          <w:lang w:eastAsia="zh-CN"/>
        </w:rPr>
        <w:t>Th</w:t>
      </w:r>
      <w:r>
        <w:rPr>
          <w:rFonts w:eastAsiaTheme="minorEastAsia"/>
          <w:lang w:eastAsia="zh-CN"/>
        </w:rPr>
        <w:t>e SCell activation mechanism can be enhanced to support activating or deactivating one of the UL carrier, if two UL carriers are configured to a UE.</w:t>
      </w:r>
    </w:p>
    <w:p w14:paraId="4CA9E1CF" w14:textId="68DB18A0" w:rsidR="00577242" w:rsidRDefault="00577242" w:rsidP="00577242">
      <w:pPr>
        <w:pStyle w:val="a0"/>
        <w:rPr>
          <w:rFonts w:eastAsia="宋体"/>
          <w:b/>
          <w:lang w:eastAsia="zh-CN"/>
        </w:rPr>
      </w:pPr>
      <w:bookmarkStart w:id="4" w:name="_Ref50355167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8D6D65">
        <w:rPr>
          <w:rFonts w:ascii="Times New Roman" w:hAnsi="Times New Roman"/>
          <w:b/>
          <w:bCs/>
          <w:noProof/>
          <w:szCs w:val="20"/>
        </w:rPr>
        <w:t>3</w:t>
      </w:r>
      <w:r w:rsidRPr="00C16E78">
        <w:rPr>
          <w:rFonts w:ascii="Times New Roman" w:hAnsi="Times New Roman"/>
          <w:b/>
          <w:bCs/>
          <w:szCs w:val="20"/>
        </w:rPr>
        <w:fldChar w:fldCharType="end"/>
      </w:r>
      <w:r>
        <w:rPr>
          <w:rFonts w:eastAsia="宋体" w:hint="eastAsia"/>
          <w:b/>
          <w:lang w:eastAsia="zh-CN"/>
        </w:rPr>
        <w:t xml:space="preserve">: </w:t>
      </w:r>
      <w:r>
        <w:rPr>
          <w:rFonts w:eastAsia="宋体"/>
          <w:b/>
          <w:lang w:eastAsia="zh-CN"/>
        </w:rPr>
        <w:t>If t</w:t>
      </w:r>
      <w:r w:rsidRPr="00577242">
        <w:rPr>
          <w:rFonts w:eastAsia="宋体"/>
          <w:b/>
          <w:lang w:eastAsia="zh-CN"/>
        </w:rPr>
        <w:t>wo UL carriers are configured to a UE</w:t>
      </w:r>
      <w:r>
        <w:rPr>
          <w:rFonts w:eastAsia="宋体"/>
          <w:b/>
          <w:lang w:eastAsia="zh-CN"/>
        </w:rPr>
        <w:t>, one of them may be deactivated for power saving</w:t>
      </w:r>
      <w:r w:rsidRPr="00D07343">
        <w:rPr>
          <w:rFonts w:eastAsia="宋体" w:hint="eastAsia"/>
          <w:b/>
          <w:lang w:eastAsia="zh-CN"/>
        </w:rPr>
        <w:t>.</w:t>
      </w:r>
      <w:bookmarkEnd w:id="4"/>
    </w:p>
    <w:p w14:paraId="439CA287" w14:textId="77777777" w:rsidR="000C0D94" w:rsidRPr="00C16E78" w:rsidRDefault="000C0D94" w:rsidP="000C0D94">
      <w:pPr>
        <w:rPr>
          <w:rFonts w:eastAsiaTheme="minorEastAsia"/>
          <w:b/>
          <w:bCs/>
          <w:szCs w:val="20"/>
          <w:lang w:eastAsia="zh-CN"/>
        </w:rPr>
      </w:pPr>
    </w:p>
    <w:p w14:paraId="6B13DB2C" w14:textId="079ACD8E" w:rsidR="000C0D94" w:rsidRPr="00C16E78" w:rsidRDefault="004A58EA" w:rsidP="000C0D94">
      <w:pPr>
        <w:pStyle w:val="a0"/>
        <w:rPr>
          <w:rFonts w:eastAsiaTheme="minorEastAsia"/>
          <w:u w:val="single"/>
          <w:lang w:eastAsia="zh-CN"/>
        </w:rPr>
      </w:pPr>
      <w:r w:rsidRPr="004A58EA">
        <w:rPr>
          <w:rFonts w:eastAsiaTheme="minorEastAsia"/>
          <w:u w:val="single"/>
          <w:lang w:eastAsia="zh-CN"/>
        </w:rPr>
        <w:t>Timing advance</w:t>
      </w:r>
      <w:r w:rsidR="00075F17">
        <w:rPr>
          <w:rFonts w:eastAsiaTheme="minorEastAsia"/>
          <w:u w:val="single"/>
          <w:lang w:eastAsia="zh-CN"/>
        </w:rPr>
        <w:t xml:space="preserve"> granularity</w:t>
      </w:r>
    </w:p>
    <w:p w14:paraId="73CC27C9" w14:textId="36A9E5ED" w:rsidR="000C0D94" w:rsidRDefault="004A58EA" w:rsidP="000C0D94">
      <w:pPr>
        <w:pStyle w:val="a0"/>
        <w:rPr>
          <w:rFonts w:eastAsiaTheme="minorEastAsia"/>
          <w:lang w:eastAsia="zh-CN"/>
        </w:rPr>
      </w:pPr>
      <w:r>
        <w:rPr>
          <w:rFonts w:eastAsiaTheme="minorEastAsia"/>
          <w:lang w:eastAsia="zh-CN"/>
        </w:rPr>
        <w:t xml:space="preserve">It has been agreed that </w:t>
      </w:r>
      <w:r>
        <w:rPr>
          <w:rFonts w:eastAsiaTheme="minorEastAsia" w:hint="eastAsia"/>
          <w:lang w:eastAsia="zh-CN"/>
        </w:rPr>
        <w:t xml:space="preserve">up to </w:t>
      </w:r>
      <w:r>
        <w:rPr>
          <w:rFonts w:eastAsiaTheme="minorEastAsia"/>
          <w:lang w:eastAsia="zh-CN"/>
        </w:rPr>
        <w:t>four</w:t>
      </w:r>
      <w:r>
        <w:rPr>
          <w:rFonts w:eastAsiaTheme="minorEastAsia" w:hint="eastAsia"/>
          <w:lang w:eastAsia="zh-CN"/>
        </w:rPr>
        <w:t xml:space="preserve"> TAGs can be configured for a UE.</w:t>
      </w:r>
      <w:r w:rsidR="00774BA0">
        <w:rPr>
          <w:rFonts w:eastAsiaTheme="minorEastAsia"/>
          <w:lang w:eastAsia="zh-CN"/>
        </w:rPr>
        <w:t xml:space="preserve"> If there is </w:t>
      </w:r>
      <w:r w:rsidR="00774BA0" w:rsidRPr="00774BA0">
        <w:rPr>
          <w:rFonts w:eastAsiaTheme="minorEastAsia"/>
          <w:lang w:eastAsia="zh-CN"/>
        </w:rPr>
        <w:t>only one configured UL BWP in the TAG</w:t>
      </w:r>
      <w:r w:rsidR="00774BA0">
        <w:rPr>
          <w:rFonts w:eastAsiaTheme="minorEastAsia"/>
          <w:lang w:eastAsia="zh-CN"/>
        </w:rPr>
        <w:t>, the TA granularity is based on that UL BWP.</w:t>
      </w:r>
      <w:r>
        <w:rPr>
          <w:rFonts w:eastAsiaTheme="minorEastAsia" w:hint="eastAsia"/>
          <w:lang w:eastAsia="zh-CN"/>
        </w:rPr>
        <w:t xml:space="preserve"> </w:t>
      </w:r>
      <w:r w:rsidR="00774BA0">
        <w:rPr>
          <w:rFonts w:eastAsiaTheme="minorEastAsia"/>
          <w:lang w:eastAsia="zh-CN"/>
        </w:rPr>
        <w:t>On the other hand</w:t>
      </w:r>
      <w:r>
        <w:rPr>
          <w:rFonts w:eastAsiaTheme="minorEastAsia"/>
          <w:lang w:eastAsia="zh-CN"/>
        </w:rPr>
        <w:t xml:space="preserve">, </w:t>
      </w:r>
      <w:r w:rsidR="00774BA0">
        <w:rPr>
          <w:rFonts w:eastAsiaTheme="minorEastAsia"/>
          <w:lang w:eastAsia="zh-CN"/>
        </w:rPr>
        <w:t xml:space="preserve">if more than one UL BWPs are configured, </w:t>
      </w:r>
      <w:r>
        <w:rPr>
          <w:rFonts w:eastAsiaTheme="minorEastAsia"/>
          <w:lang w:eastAsia="zh-CN"/>
        </w:rPr>
        <w:t xml:space="preserve">the TA </w:t>
      </w:r>
      <w:r w:rsidRPr="00871157">
        <w:rPr>
          <w:rFonts w:ascii="Times New Roman" w:hAnsi="Times New Roman"/>
          <w:szCs w:val="20"/>
        </w:rPr>
        <w:t>granularity</w:t>
      </w:r>
      <w:r>
        <w:rPr>
          <w:rFonts w:eastAsiaTheme="minorEastAsia"/>
          <w:lang w:eastAsia="zh-CN"/>
        </w:rPr>
        <w:t xml:space="preserve"> in MAC CE has not been defined yet. The following options are proposed</w:t>
      </w:r>
      <w:r w:rsidRPr="004A58EA">
        <w:rPr>
          <w:rFonts w:eastAsiaTheme="minorEastAsia"/>
          <w:lang w:val="en-GB" w:eastAsia="zh-CN"/>
        </w:rPr>
        <w:t xml:space="preserve"> for multiple configured UL BWPs in a TAG</w:t>
      </w:r>
      <w:r>
        <w:rPr>
          <w:rFonts w:eastAsiaTheme="minorEastAsia"/>
          <w:lang w:eastAsia="zh-CN"/>
        </w:rPr>
        <w:t>:</w:t>
      </w:r>
    </w:p>
    <w:p w14:paraId="0DEF8F77" w14:textId="77777777" w:rsidR="004A58EA" w:rsidRPr="004A58EA" w:rsidRDefault="004A58EA" w:rsidP="004A58EA">
      <w:pPr>
        <w:pStyle w:val="a0"/>
        <w:numPr>
          <w:ilvl w:val="0"/>
          <w:numId w:val="37"/>
        </w:numPr>
        <w:rPr>
          <w:rFonts w:eastAsiaTheme="minorEastAsia"/>
          <w:lang w:eastAsia="zh-CN"/>
        </w:rPr>
      </w:pPr>
      <w:bookmarkStart w:id="5" w:name="_Hlk498640908"/>
      <w:r w:rsidRPr="004A58EA">
        <w:rPr>
          <w:rFonts w:eastAsiaTheme="minorEastAsia"/>
          <w:lang w:val="en-GB" w:eastAsia="zh-CN"/>
        </w:rPr>
        <w:t>Alt 1: Maximum Subcarrier spacing of all semi-statically configured UL within the TAG, e.g., UL BWP, SUL, CC</w:t>
      </w:r>
    </w:p>
    <w:p w14:paraId="7F301CDC" w14:textId="77777777" w:rsidR="004A58EA" w:rsidRPr="004A58EA" w:rsidRDefault="004A58EA" w:rsidP="004A58EA">
      <w:pPr>
        <w:pStyle w:val="a0"/>
        <w:numPr>
          <w:ilvl w:val="0"/>
          <w:numId w:val="37"/>
        </w:numPr>
        <w:rPr>
          <w:rFonts w:eastAsiaTheme="minorEastAsia"/>
          <w:lang w:eastAsia="zh-CN"/>
        </w:rPr>
      </w:pPr>
      <w:r w:rsidRPr="004A58EA">
        <w:rPr>
          <w:rFonts w:eastAsiaTheme="minorEastAsia"/>
          <w:lang w:val="en-GB" w:eastAsia="zh-CN"/>
        </w:rPr>
        <w:t>Alt 2: Maximum SCS of all activated UL BWPs within the TAG</w:t>
      </w:r>
    </w:p>
    <w:p w14:paraId="0FD935E6" w14:textId="77777777" w:rsidR="004A58EA" w:rsidRPr="004A58EA" w:rsidRDefault="004A58EA" w:rsidP="004A58EA">
      <w:pPr>
        <w:pStyle w:val="a0"/>
        <w:numPr>
          <w:ilvl w:val="0"/>
          <w:numId w:val="37"/>
        </w:numPr>
        <w:rPr>
          <w:rFonts w:eastAsiaTheme="minorEastAsia"/>
          <w:lang w:eastAsia="zh-CN"/>
        </w:rPr>
      </w:pPr>
      <w:r w:rsidRPr="004A58EA">
        <w:rPr>
          <w:rFonts w:eastAsiaTheme="minorEastAsia"/>
          <w:lang w:val="en-GB" w:eastAsia="zh-CN"/>
        </w:rPr>
        <w:t>Alt 3: TA command or additional field in MAC-CE explicitly indicates the TA granularity used</w:t>
      </w:r>
    </w:p>
    <w:p w14:paraId="53D0FB07" w14:textId="77777777" w:rsidR="004A58EA" w:rsidRPr="004A58EA" w:rsidRDefault="004A58EA" w:rsidP="004A58EA">
      <w:pPr>
        <w:pStyle w:val="a0"/>
        <w:numPr>
          <w:ilvl w:val="0"/>
          <w:numId w:val="37"/>
        </w:numPr>
        <w:rPr>
          <w:rFonts w:eastAsiaTheme="minorEastAsia"/>
          <w:lang w:eastAsia="zh-CN"/>
        </w:rPr>
      </w:pPr>
      <w:r w:rsidRPr="004A58EA">
        <w:rPr>
          <w:rFonts w:eastAsiaTheme="minorEastAsia"/>
          <w:lang w:eastAsia="zh-CN"/>
        </w:rPr>
        <w:t>Alt 4: SCS of the reference UL BWP, which is identified by RRC configuration</w:t>
      </w:r>
    </w:p>
    <w:bookmarkEnd w:id="5"/>
    <w:p w14:paraId="1B83A18F" w14:textId="627B9FC1" w:rsidR="004A58EA" w:rsidRDefault="00505CF0" w:rsidP="000C0D94">
      <w:pPr>
        <w:pStyle w:val="a0"/>
        <w:rPr>
          <w:rFonts w:eastAsiaTheme="minorEastAsia"/>
          <w:lang w:eastAsia="zh-CN"/>
        </w:rPr>
      </w:pPr>
      <w:r>
        <w:rPr>
          <w:rFonts w:eastAsiaTheme="minorEastAsia"/>
          <w:lang w:eastAsia="zh-CN"/>
        </w:rPr>
        <w:t>Given that the activated UL BWP can be dynamically changed by DCI, while the TA command is carried by MAC CE, it may be ambiguous that which SCS is used to interpret the TA granularity, especially during BWP activation/deactivation/switching. It would be difficult to determine which BWP should be used for TA granularity resolution after BWP change, considering the TA in MAC CE may be successfully decoded after multiple HARQ retransmission. Miss detection of BWP activation DCI would further make the thing worse. Therefore, Alt 2 is not preferred.</w:t>
      </w:r>
    </w:p>
    <w:p w14:paraId="539E7856" w14:textId="5D0B206E" w:rsidR="004A58EA" w:rsidRDefault="00505CF0" w:rsidP="000C0D94">
      <w:pPr>
        <w:pStyle w:val="a0"/>
        <w:rPr>
          <w:rFonts w:eastAsiaTheme="minorEastAsia"/>
          <w:lang w:eastAsia="zh-CN"/>
        </w:rPr>
      </w:pPr>
      <w:r>
        <w:rPr>
          <w:rFonts w:eastAsiaTheme="minorEastAsia"/>
          <w:lang w:eastAsia="zh-CN"/>
        </w:rPr>
        <w:t xml:space="preserve">Alt 3 avoids such ambiguity as the TA granularity is explicitly signaled. Moreover, </w:t>
      </w:r>
      <w:r w:rsidR="00774BA0">
        <w:rPr>
          <w:rFonts w:eastAsiaTheme="minorEastAsia"/>
          <w:lang w:eastAsia="zh-CN"/>
        </w:rPr>
        <w:t>the reference SCS of TA can be dynamically determined. The problem is that, it does not align with the behavior in single UL BWP</w:t>
      </w:r>
      <w:r w:rsidR="00D033CB">
        <w:rPr>
          <w:rFonts w:eastAsiaTheme="minorEastAsia"/>
          <w:lang w:eastAsia="zh-CN"/>
        </w:rPr>
        <w:t xml:space="preserve"> case. In addition, it is not clear what the ability of dynamic change</w:t>
      </w:r>
      <w:r w:rsidR="00D033CB" w:rsidRPr="00D033CB">
        <w:rPr>
          <w:rFonts w:eastAsiaTheme="minorEastAsia"/>
          <w:lang w:eastAsia="zh-CN"/>
        </w:rPr>
        <w:t xml:space="preserve"> </w:t>
      </w:r>
      <w:r w:rsidR="00D033CB">
        <w:rPr>
          <w:rFonts w:eastAsiaTheme="minorEastAsia"/>
          <w:lang w:eastAsia="zh-CN"/>
        </w:rPr>
        <w:t>of TA granularity serves.</w:t>
      </w:r>
    </w:p>
    <w:p w14:paraId="61F0A0B9" w14:textId="77777777" w:rsidR="00D033CB" w:rsidRDefault="00D033CB" w:rsidP="000C0D94">
      <w:pPr>
        <w:pStyle w:val="a0"/>
        <w:rPr>
          <w:rFonts w:eastAsiaTheme="minorEastAsia"/>
          <w:lang w:eastAsia="zh-CN"/>
        </w:rPr>
      </w:pPr>
      <w:r>
        <w:rPr>
          <w:rFonts w:eastAsiaTheme="minorEastAsia"/>
          <w:lang w:eastAsia="zh-CN"/>
        </w:rPr>
        <w:t xml:space="preserve">Alt 4 requires additional RRC modification, which is not desirable at this stage. </w:t>
      </w:r>
    </w:p>
    <w:p w14:paraId="40EDFA99" w14:textId="26A5EE66" w:rsidR="00505CF0" w:rsidRDefault="00D033CB" w:rsidP="000C0D94">
      <w:pPr>
        <w:pStyle w:val="a0"/>
        <w:rPr>
          <w:rFonts w:eastAsiaTheme="minorEastAsia"/>
          <w:lang w:eastAsia="zh-CN"/>
        </w:rPr>
      </w:pPr>
      <w:r>
        <w:rPr>
          <w:rFonts w:eastAsiaTheme="minorEastAsia"/>
          <w:lang w:eastAsia="zh-CN"/>
        </w:rPr>
        <w:t>On the other han</w:t>
      </w:r>
      <w:bookmarkStart w:id="6" w:name="_GoBack"/>
      <w:bookmarkEnd w:id="6"/>
      <w:r>
        <w:rPr>
          <w:rFonts w:eastAsiaTheme="minorEastAsia"/>
          <w:lang w:eastAsia="zh-CN"/>
        </w:rPr>
        <w:t>d, Alt 1 is simple, straightforward, and can avoid the ambiguity due to BWP activation/deactivation. As a result, we propose to adopt Alt 1.</w:t>
      </w:r>
    </w:p>
    <w:p w14:paraId="7A1F2D25" w14:textId="59C82D9B" w:rsidR="000C0D94" w:rsidRDefault="000C0D94" w:rsidP="000C0D94">
      <w:pPr>
        <w:pStyle w:val="a0"/>
        <w:rPr>
          <w:rFonts w:eastAsia="宋体"/>
          <w:lang w:eastAsia="zh-CN"/>
        </w:rPr>
      </w:pPr>
      <w:bookmarkStart w:id="7" w:name="_Ref50354750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8D6D65">
        <w:rPr>
          <w:rFonts w:ascii="Times New Roman" w:hAnsi="Times New Roman"/>
          <w:b/>
          <w:bCs/>
          <w:noProof/>
          <w:szCs w:val="20"/>
        </w:rPr>
        <w:t>4</w:t>
      </w:r>
      <w:r w:rsidRPr="00C16E78">
        <w:rPr>
          <w:rFonts w:ascii="Times New Roman" w:hAnsi="Times New Roman"/>
          <w:b/>
          <w:bCs/>
          <w:szCs w:val="20"/>
        </w:rPr>
        <w:fldChar w:fldCharType="end"/>
      </w:r>
      <w:r>
        <w:rPr>
          <w:rFonts w:eastAsia="宋体" w:hint="eastAsia"/>
          <w:b/>
          <w:lang w:eastAsia="zh-CN"/>
        </w:rPr>
        <w:t xml:space="preserve">: </w:t>
      </w:r>
      <w:r w:rsidR="00D033CB">
        <w:rPr>
          <w:rFonts w:eastAsia="宋体"/>
          <w:b/>
          <w:lang w:eastAsia="zh-CN"/>
        </w:rPr>
        <w:t xml:space="preserve">In the case of </w:t>
      </w:r>
      <w:r w:rsidR="00E01240" w:rsidRPr="00E01240">
        <w:rPr>
          <w:rFonts w:eastAsia="宋体"/>
          <w:b/>
          <w:lang w:eastAsia="zh-CN"/>
        </w:rPr>
        <w:t>multiple configured UL BWPs in the TAG</w:t>
      </w:r>
      <w:r w:rsidR="00E01240">
        <w:rPr>
          <w:rFonts w:eastAsia="宋体"/>
          <w:b/>
          <w:lang w:eastAsia="zh-CN"/>
        </w:rPr>
        <w:t>, the TA granularity is based on the m</w:t>
      </w:r>
      <w:r w:rsidR="00E01240" w:rsidRPr="00E01240">
        <w:rPr>
          <w:rFonts w:eastAsia="宋体"/>
          <w:b/>
          <w:lang w:eastAsia="zh-CN"/>
        </w:rPr>
        <w:t xml:space="preserve">aximum </w:t>
      </w:r>
      <w:r w:rsidR="00E01240">
        <w:rPr>
          <w:rFonts w:eastAsia="宋体"/>
          <w:b/>
          <w:lang w:eastAsia="zh-CN"/>
        </w:rPr>
        <w:t>SCS</w:t>
      </w:r>
      <w:r w:rsidR="00E01240" w:rsidRPr="00E01240">
        <w:rPr>
          <w:rFonts w:eastAsia="宋体"/>
          <w:b/>
          <w:lang w:eastAsia="zh-CN"/>
        </w:rPr>
        <w:t xml:space="preserve"> of all semi-statically configured UL within the TAG</w:t>
      </w:r>
      <w:r w:rsidRPr="00D07343">
        <w:rPr>
          <w:rFonts w:eastAsia="宋体" w:hint="eastAsia"/>
          <w:b/>
          <w:lang w:eastAsia="zh-CN"/>
        </w:rPr>
        <w:t>.</w:t>
      </w:r>
      <w:bookmarkEnd w:id="7"/>
    </w:p>
    <w:bookmarkEnd w:id="0"/>
    <w:bookmarkEnd w:id="1"/>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1FDF012D"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 xml:space="preserve">remaining issues on </w:t>
      </w:r>
      <w:r w:rsidR="00FD4314" w:rsidRPr="001B687C">
        <w:rPr>
          <w:rFonts w:cs="Arial"/>
        </w:rPr>
        <w:t>carrier aggregation</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12B3AE5" w14:textId="4675AE4D" w:rsidR="00C16E78" w:rsidRPr="00C16E78" w:rsidRDefault="00C16E78" w:rsidP="00C16E78">
      <w:pPr>
        <w:pStyle w:val="a0"/>
        <w:spacing w:before="120"/>
        <w:rPr>
          <w:b/>
        </w:rPr>
      </w:pPr>
      <w:r w:rsidRPr="00C16E78">
        <w:rPr>
          <w:b/>
        </w:rPr>
        <w:fldChar w:fldCharType="begin"/>
      </w:r>
      <w:r w:rsidRPr="00C16E78">
        <w:rPr>
          <w:b/>
        </w:rPr>
        <w:instrText xml:space="preserve"> REF _Ref498762968 \h </w:instrText>
      </w:r>
      <w:r>
        <w:rPr>
          <w:b/>
        </w:rPr>
        <w:instrText xml:space="preserve"> \* MERGEFORMAT </w:instrText>
      </w:r>
      <w:r w:rsidRPr="00C16E78">
        <w:rPr>
          <w:b/>
        </w:rPr>
      </w:r>
      <w:r w:rsidRPr="00C16E78">
        <w:rPr>
          <w:b/>
        </w:rPr>
        <w:fldChar w:fldCharType="separate"/>
      </w:r>
      <w:r w:rsidR="008D6D65" w:rsidRPr="008D6D65">
        <w:rPr>
          <w:b/>
        </w:rPr>
        <w:t>Proposal 1: PUCCH can be configured on any uplink carrier within the cell group.</w:t>
      </w:r>
      <w:r w:rsidRPr="00C16E78">
        <w:rPr>
          <w:b/>
        </w:rPr>
        <w:fldChar w:fldCharType="end"/>
      </w:r>
    </w:p>
    <w:p w14:paraId="112BF187" w14:textId="46E20EF2" w:rsidR="00C16E78" w:rsidRDefault="00C16E78" w:rsidP="00C16E78">
      <w:pPr>
        <w:pStyle w:val="a0"/>
        <w:spacing w:before="120"/>
        <w:rPr>
          <w:b/>
        </w:rPr>
      </w:pPr>
      <w:r w:rsidRPr="00C16E78">
        <w:rPr>
          <w:b/>
        </w:rPr>
        <w:fldChar w:fldCharType="begin"/>
      </w:r>
      <w:r w:rsidRPr="00C16E78">
        <w:rPr>
          <w:b/>
        </w:rPr>
        <w:instrText xml:space="preserve"> REF _Ref498762977 \h </w:instrText>
      </w:r>
      <w:r>
        <w:rPr>
          <w:b/>
        </w:rPr>
        <w:instrText xml:space="preserve"> \* MERGEFORMAT </w:instrText>
      </w:r>
      <w:r w:rsidRPr="00C16E78">
        <w:rPr>
          <w:b/>
        </w:rPr>
      </w:r>
      <w:r w:rsidRPr="00C16E78">
        <w:rPr>
          <w:b/>
        </w:rPr>
        <w:fldChar w:fldCharType="separate"/>
      </w:r>
      <w:r w:rsidR="008D6D65" w:rsidRPr="008D6D65">
        <w:rPr>
          <w:rFonts w:hint="eastAsia"/>
          <w:b/>
        </w:rPr>
        <w:t xml:space="preserve">Proposal </w:t>
      </w:r>
      <w:r w:rsidR="008D6D65" w:rsidRPr="008D6D65">
        <w:rPr>
          <w:b/>
        </w:rPr>
        <w:t>2</w:t>
      </w:r>
      <w:r w:rsidR="008D6D65" w:rsidRPr="008D6D65">
        <w:rPr>
          <w:rFonts w:hint="eastAsia"/>
          <w:b/>
        </w:rPr>
        <w:t xml:space="preserve">: The necessity of L1 based Scell </w:t>
      </w:r>
      <w:r w:rsidR="008D6D65" w:rsidRPr="008D6D65">
        <w:rPr>
          <w:b/>
        </w:rPr>
        <w:t>activation</w:t>
      </w:r>
      <w:r w:rsidR="008D6D65" w:rsidRPr="008D6D65">
        <w:rPr>
          <w:rFonts w:hint="eastAsia"/>
          <w:b/>
        </w:rPr>
        <w:t>/deactivation is revisited after RAN4 RF/RRM requirements regarding Scell activation are concluded.</w:t>
      </w:r>
      <w:r w:rsidRPr="00C16E78">
        <w:rPr>
          <w:b/>
        </w:rPr>
        <w:fldChar w:fldCharType="end"/>
      </w:r>
    </w:p>
    <w:p w14:paraId="6A3A0B03" w14:textId="7312B5ED" w:rsidR="008D6D65" w:rsidRDefault="008D6D65" w:rsidP="00C16E78">
      <w:pPr>
        <w:pStyle w:val="a0"/>
        <w:spacing w:before="120"/>
        <w:rPr>
          <w:b/>
        </w:rPr>
      </w:pPr>
      <w:r>
        <w:rPr>
          <w:b/>
        </w:rPr>
        <w:fldChar w:fldCharType="begin"/>
      </w:r>
      <w:r>
        <w:rPr>
          <w:b/>
        </w:rPr>
        <w:instrText xml:space="preserve"> REF _Ref503551675 \h </w:instrText>
      </w:r>
      <w:r>
        <w:rPr>
          <w:b/>
        </w:rPr>
      </w:r>
      <w:r>
        <w:rPr>
          <w:b/>
        </w:rPr>
        <w:fldChar w:fldCharType="separate"/>
      </w:r>
      <w:r>
        <w:rPr>
          <w:rFonts w:eastAsia="宋体" w:hint="eastAsia"/>
          <w:b/>
          <w:lang w:eastAsia="zh-CN"/>
        </w:rPr>
        <w:t xml:space="preserve">Proposal </w:t>
      </w:r>
      <w:r>
        <w:rPr>
          <w:rFonts w:ascii="Times New Roman" w:hAnsi="Times New Roman"/>
          <w:b/>
          <w:bCs/>
          <w:noProof/>
          <w:szCs w:val="20"/>
        </w:rPr>
        <w:t>3</w:t>
      </w:r>
      <w:r>
        <w:rPr>
          <w:rFonts w:eastAsia="宋体" w:hint="eastAsia"/>
          <w:b/>
          <w:lang w:eastAsia="zh-CN"/>
        </w:rPr>
        <w:t xml:space="preserve">: </w:t>
      </w:r>
      <w:r>
        <w:rPr>
          <w:rFonts w:eastAsia="宋体"/>
          <w:b/>
          <w:lang w:eastAsia="zh-CN"/>
        </w:rPr>
        <w:t>If t</w:t>
      </w:r>
      <w:r w:rsidRPr="00577242">
        <w:rPr>
          <w:rFonts w:eastAsia="宋体"/>
          <w:b/>
          <w:lang w:eastAsia="zh-CN"/>
        </w:rPr>
        <w:t>wo UL carriers are configured to a UE</w:t>
      </w:r>
      <w:r>
        <w:rPr>
          <w:rFonts w:eastAsia="宋体"/>
          <w:b/>
          <w:lang w:eastAsia="zh-CN"/>
        </w:rPr>
        <w:t>, one of them may be deactivated for power saving</w:t>
      </w:r>
      <w:r w:rsidRPr="00D07343">
        <w:rPr>
          <w:rFonts w:eastAsia="宋体" w:hint="eastAsia"/>
          <w:b/>
          <w:lang w:eastAsia="zh-CN"/>
        </w:rPr>
        <w:t>.</w:t>
      </w:r>
      <w:r>
        <w:rPr>
          <w:b/>
        </w:rPr>
        <w:fldChar w:fldCharType="end"/>
      </w:r>
    </w:p>
    <w:p w14:paraId="310C242F" w14:textId="3FFD9DDA" w:rsidR="00FA066E" w:rsidRDefault="00FA066E" w:rsidP="00C16E78">
      <w:pPr>
        <w:pStyle w:val="a0"/>
        <w:spacing w:before="120"/>
        <w:rPr>
          <w:b/>
        </w:rPr>
      </w:pPr>
      <w:r>
        <w:rPr>
          <w:b/>
        </w:rPr>
        <w:lastRenderedPageBreak/>
        <w:fldChar w:fldCharType="begin"/>
      </w:r>
      <w:r>
        <w:instrText xml:space="preserve"> REF _Ref503547505 \h </w:instrText>
      </w:r>
      <w:r>
        <w:rPr>
          <w:b/>
        </w:rPr>
      </w:r>
      <w:r>
        <w:rPr>
          <w:b/>
        </w:rPr>
        <w:fldChar w:fldCharType="separate"/>
      </w:r>
      <w:r w:rsidR="008D6D65">
        <w:rPr>
          <w:rFonts w:eastAsia="宋体" w:hint="eastAsia"/>
          <w:b/>
          <w:lang w:eastAsia="zh-CN"/>
        </w:rPr>
        <w:t xml:space="preserve">Proposal </w:t>
      </w:r>
      <w:r w:rsidR="008D6D65">
        <w:rPr>
          <w:rFonts w:ascii="Times New Roman" w:hAnsi="Times New Roman"/>
          <w:b/>
          <w:bCs/>
          <w:noProof/>
          <w:szCs w:val="20"/>
        </w:rPr>
        <w:t>4</w:t>
      </w:r>
      <w:r w:rsidR="008D6D65">
        <w:rPr>
          <w:rFonts w:eastAsia="宋体" w:hint="eastAsia"/>
          <w:b/>
          <w:lang w:eastAsia="zh-CN"/>
        </w:rPr>
        <w:t xml:space="preserve">: </w:t>
      </w:r>
      <w:r w:rsidR="008D6D65">
        <w:rPr>
          <w:rFonts w:eastAsia="宋体"/>
          <w:b/>
          <w:lang w:eastAsia="zh-CN"/>
        </w:rPr>
        <w:t xml:space="preserve">In the case of </w:t>
      </w:r>
      <w:r w:rsidR="008D6D65" w:rsidRPr="00E01240">
        <w:rPr>
          <w:rFonts w:eastAsia="宋体"/>
          <w:b/>
          <w:lang w:eastAsia="zh-CN"/>
        </w:rPr>
        <w:t>multiple configured UL BWPs in the TAG</w:t>
      </w:r>
      <w:r w:rsidR="008D6D65">
        <w:rPr>
          <w:rFonts w:eastAsia="宋体"/>
          <w:b/>
          <w:lang w:eastAsia="zh-CN"/>
        </w:rPr>
        <w:t>, the TA granularity is based on the m</w:t>
      </w:r>
      <w:r w:rsidR="008D6D65" w:rsidRPr="00E01240">
        <w:rPr>
          <w:rFonts w:eastAsia="宋体"/>
          <w:b/>
          <w:lang w:eastAsia="zh-CN"/>
        </w:rPr>
        <w:t xml:space="preserve">aximum </w:t>
      </w:r>
      <w:r w:rsidR="008D6D65">
        <w:rPr>
          <w:rFonts w:eastAsia="宋体"/>
          <w:b/>
          <w:lang w:eastAsia="zh-CN"/>
        </w:rPr>
        <w:t>SCS</w:t>
      </w:r>
      <w:r w:rsidR="008D6D65" w:rsidRPr="00E01240">
        <w:rPr>
          <w:rFonts w:eastAsia="宋体"/>
          <w:b/>
          <w:lang w:eastAsia="zh-CN"/>
        </w:rPr>
        <w:t xml:space="preserve"> of all semi-statically configured UL within the TAG</w:t>
      </w:r>
      <w:r w:rsidR="008D6D65" w:rsidRPr="00D07343">
        <w:rPr>
          <w:rFonts w:eastAsia="宋体" w:hint="eastAsia"/>
          <w:b/>
          <w:lang w:eastAsia="zh-CN"/>
        </w:rPr>
        <w:t>.</w:t>
      </w:r>
      <w:r>
        <w:rPr>
          <w:b/>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7A7FA14" w14:textId="69E501B4" w:rsidR="0046239D" w:rsidRDefault="00FD4314">
      <w:pPr>
        <w:pStyle w:val="a0"/>
        <w:numPr>
          <w:ilvl w:val="0"/>
          <w:numId w:val="6"/>
        </w:numPr>
        <w:spacing w:after="0"/>
      </w:pPr>
      <w:bookmarkStart w:id="8" w:name="_Ref489688782"/>
      <w:bookmarkStart w:id="9" w:name="_Ref477726638"/>
      <w:r>
        <w:rPr>
          <w:lang w:eastAsia="zh-CN"/>
        </w:rPr>
        <w:t>Chairman notes of RAN1#9</w:t>
      </w:r>
      <w:r w:rsidR="00A62F51">
        <w:rPr>
          <w:lang w:eastAsia="zh-CN"/>
        </w:rPr>
        <w:t>1</w:t>
      </w:r>
      <w:r w:rsidR="005F3B30">
        <w:rPr>
          <w:lang w:eastAsia="zh-CN"/>
        </w:rPr>
        <w:t xml:space="preserve">, </w:t>
      </w:r>
      <w:r w:rsidR="00A62F51">
        <w:rPr>
          <w:lang w:eastAsia="zh-CN"/>
        </w:rPr>
        <w:t>Nov</w:t>
      </w:r>
      <w:r w:rsidR="001E4319">
        <w:rPr>
          <w:lang w:eastAsia="zh-CN"/>
        </w:rPr>
        <w:t>. 2017</w:t>
      </w:r>
      <w:r w:rsidR="004862C1">
        <w:rPr>
          <w:lang w:eastAsia="zh-CN"/>
        </w:rPr>
        <w:t>.</w:t>
      </w:r>
      <w:bookmarkEnd w:id="8"/>
      <w:bookmarkEnd w:id="9"/>
    </w:p>
    <w:p w14:paraId="71AA647D" w14:textId="5B806A08" w:rsidR="0065210E" w:rsidRDefault="0065210E" w:rsidP="0049786C">
      <w:pPr>
        <w:pStyle w:val="a0"/>
        <w:spacing w:after="0"/>
      </w:pPr>
    </w:p>
    <w:p w14:paraId="471AC7A1" w14:textId="77777777" w:rsidR="00B03E14" w:rsidRDefault="00B03E14" w:rsidP="008B75E4">
      <w:pPr>
        <w:pStyle w:val="a0"/>
        <w:rPr>
          <w:rFonts w:ascii="Arial" w:eastAsia="宋体" w:hAnsi="Arial"/>
          <w:sz w:val="36"/>
          <w:szCs w:val="20"/>
          <w:lang w:eastAsia="zh-CN"/>
        </w:rPr>
      </w:pPr>
    </w:p>
    <w:p w14:paraId="51BAC372" w14:textId="77777777" w:rsidR="00B03E14" w:rsidRPr="00407D19" w:rsidRDefault="00B03E14" w:rsidP="00B03E14">
      <w:pPr>
        <w:pStyle w:val="a0"/>
        <w:rPr>
          <w:rFonts w:ascii="Arial" w:eastAsia="宋体" w:hAnsi="Arial"/>
          <w:sz w:val="36"/>
          <w:szCs w:val="20"/>
          <w:lang w:eastAsia="zh-CN"/>
        </w:rPr>
      </w:pPr>
    </w:p>
    <w:sectPr w:rsidR="00B03E14"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696DC" w14:textId="77777777" w:rsidR="00E24A76" w:rsidRDefault="00E24A76">
      <w:r>
        <w:separator/>
      </w:r>
    </w:p>
  </w:endnote>
  <w:endnote w:type="continuationSeparator" w:id="0">
    <w:p w14:paraId="3A42242A" w14:textId="77777777" w:rsidR="00E24A76" w:rsidRDefault="00E2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1617B73E" w:rsidR="00292824" w:rsidRPr="00E7456F" w:rsidRDefault="00292824" w:rsidP="00E7456F">
    <w:pPr>
      <w:pStyle w:val="ab"/>
      <w:jc w:val="center"/>
    </w:pPr>
    <w:r>
      <w:rPr>
        <w:rStyle w:val="ac"/>
      </w:rPr>
      <w:fldChar w:fldCharType="begin"/>
    </w:r>
    <w:r>
      <w:rPr>
        <w:rStyle w:val="ac"/>
      </w:rPr>
      <w:instrText xml:space="preserve"> PAGE </w:instrText>
    </w:r>
    <w:r>
      <w:rPr>
        <w:rStyle w:val="ac"/>
      </w:rPr>
      <w:fldChar w:fldCharType="separate"/>
    </w:r>
    <w:r w:rsidR="0049786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9786C">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0C0C4" w14:textId="77777777" w:rsidR="00E24A76" w:rsidRDefault="00E24A76">
      <w:r>
        <w:separator/>
      </w:r>
    </w:p>
  </w:footnote>
  <w:footnote w:type="continuationSeparator" w:id="0">
    <w:p w14:paraId="2E41FD39" w14:textId="77777777" w:rsidR="00E24A76" w:rsidRDefault="00E24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847057"/>
    <w:multiLevelType w:val="hybridMultilevel"/>
    <w:tmpl w:val="0B8E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1"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2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9"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1"/>
  </w:num>
  <w:num w:numId="5">
    <w:abstractNumId w:val="27"/>
  </w:num>
  <w:num w:numId="6">
    <w:abstractNumId w:val="33"/>
  </w:num>
  <w:num w:numId="7">
    <w:abstractNumId w:val="2"/>
  </w:num>
  <w:num w:numId="8">
    <w:abstractNumId w:val="2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5"/>
  </w:num>
  <w:num w:numId="16">
    <w:abstractNumId w:val="8"/>
  </w:num>
  <w:num w:numId="17">
    <w:abstractNumId w:val="22"/>
  </w:num>
  <w:num w:numId="18">
    <w:abstractNumId w:val="21"/>
  </w:num>
  <w:num w:numId="19">
    <w:abstractNumId w:val="11"/>
  </w:num>
  <w:num w:numId="20">
    <w:abstractNumId w:val="10"/>
  </w:num>
  <w:num w:numId="21">
    <w:abstractNumId w:val="3"/>
  </w:num>
  <w:num w:numId="22">
    <w:abstractNumId w:val="17"/>
  </w:num>
  <w:num w:numId="23">
    <w:abstractNumId w:val="12"/>
  </w:num>
  <w:num w:numId="24">
    <w:abstractNumId w:val="7"/>
  </w:num>
  <w:num w:numId="25">
    <w:abstractNumId w:val="9"/>
  </w:num>
  <w:num w:numId="26">
    <w:abstractNumId w:val="13"/>
  </w:num>
  <w:num w:numId="27">
    <w:abstractNumId w:val="16"/>
  </w:num>
  <w:num w:numId="28">
    <w:abstractNumId w:val="20"/>
  </w:num>
  <w:num w:numId="29">
    <w:abstractNumId w:val="6"/>
  </w:num>
  <w:num w:numId="30">
    <w:abstractNumId w:val="23"/>
  </w:num>
  <w:num w:numId="31">
    <w:abstractNumId w:val="19"/>
  </w:num>
  <w:num w:numId="32">
    <w:abstractNumId w:val="14"/>
  </w:num>
  <w:num w:numId="33">
    <w:abstractNumId w:val="29"/>
  </w:num>
  <w:num w:numId="34">
    <w:abstractNumId w:val="24"/>
  </w:num>
  <w:num w:numId="35">
    <w:abstractNumId w:val="4"/>
  </w:num>
  <w:num w:numId="36">
    <w:abstractNumId w:val="15"/>
  </w:num>
  <w:num w:numId="37">
    <w:abstractNumId w:val="5"/>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5F17"/>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3050"/>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0D94"/>
    <w:rsid w:val="000C1986"/>
    <w:rsid w:val="000C2C02"/>
    <w:rsid w:val="000C5513"/>
    <w:rsid w:val="000C6084"/>
    <w:rsid w:val="000C6C83"/>
    <w:rsid w:val="000C7495"/>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58D"/>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126A"/>
    <w:rsid w:val="001A3365"/>
    <w:rsid w:val="001A4B6E"/>
    <w:rsid w:val="001A6823"/>
    <w:rsid w:val="001A68BF"/>
    <w:rsid w:val="001A71A6"/>
    <w:rsid w:val="001B0E4A"/>
    <w:rsid w:val="001B0E6A"/>
    <w:rsid w:val="001B283F"/>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7106"/>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824"/>
    <w:rsid w:val="00292CEA"/>
    <w:rsid w:val="002954C3"/>
    <w:rsid w:val="00296D86"/>
    <w:rsid w:val="00296FB5"/>
    <w:rsid w:val="002974E9"/>
    <w:rsid w:val="00297FA4"/>
    <w:rsid w:val="002A29D3"/>
    <w:rsid w:val="002A2B14"/>
    <w:rsid w:val="002A313D"/>
    <w:rsid w:val="002A3961"/>
    <w:rsid w:val="002A6322"/>
    <w:rsid w:val="002A7EA8"/>
    <w:rsid w:val="002B0AF1"/>
    <w:rsid w:val="002B106F"/>
    <w:rsid w:val="002B17F3"/>
    <w:rsid w:val="002B277A"/>
    <w:rsid w:val="002B34B3"/>
    <w:rsid w:val="002B4E57"/>
    <w:rsid w:val="002B57CE"/>
    <w:rsid w:val="002B5D39"/>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1604"/>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9786C"/>
    <w:rsid w:val="004A0A22"/>
    <w:rsid w:val="004A331A"/>
    <w:rsid w:val="004A343C"/>
    <w:rsid w:val="004A4352"/>
    <w:rsid w:val="004A49D2"/>
    <w:rsid w:val="004A49EA"/>
    <w:rsid w:val="004A5113"/>
    <w:rsid w:val="004A58EA"/>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0559C"/>
    <w:rsid w:val="00505CF0"/>
    <w:rsid w:val="00510403"/>
    <w:rsid w:val="00513D02"/>
    <w:rsid w:val="00513EE8"/>
    <w:rsid w:val="00513F59"/>
    <w:rsid w:val="00514D60"/>
    <w:rsid w:val="005159D2"/>
    <w:rsid w:val="0051799E"/>
    <w:rsid w:val="00522AAF"/>
    <w:rsid w:val="005245D8"/>
    <w:rsid w:val="005256D1"/>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A00"/>
    <w:rsid w:val="00576BE6"/>
    <w:rsid w:val="00576F06"/>
    <w:rsid w:val="00576F4C"/>
    <w:rsid w:val="00577242"/>
    <w:rsid w:val="005775ED"/>
    <w:rsid w:val="005801B7"/>
    <w:rsid w:val="005802C5"/>
    <w:rsid w:val="00581A9B"/>
    <w:rsid w:val="00581D75"/>
    <w:rsid w:val="005838EB"/>
    <w:rsid w:val="00584CB5"/>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1489"/>
    <w:rsid w:val="005B3C0A"/>
    <w:rsid w:val="005B48F0"/>
    <w:rsid w:val="005B7089"/>
    <w:rsid w:val="005C324E"/>
    <w:rsid w:val="005C4474"/>
    <w:rsid w:val="005C4781"/>
    <w:rsid w:val="005C5A45"/>
    <w:rsid w:val="005C7228"/>
    <w:rsid w:val="005D0375"/>
    <w:rsid w:val="005D0E44"/>
    <w:rsid w:val="005D25B3"/>
    <w:rsid w:val="005D25DE"/>
    <w:rsid w:val="005D389D"/>
    <w:rsid w:val="005D63F1"/>
    <w:rsid w:val="005E142E"/>
    <w:rsid w:val="005E1E11"/>
    <w:rsid w:val="005E33CC"/>
    <w:rsid w:val="005E4201"/>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251"/>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6118"/>
    <w:rsid w:val="006F622C"/>
    <w:rsid w:val="006F6C8E"/>
    <w:rsid w:val="006F748B"/>
    <w:rsid w:val="007002EE"/>
    <w:rsid w:val="007016BD"/>
    <w:rsid w:val="007018E3"/>
    <w:rsid w:val="0070223D"/>
    <w:rsid w:val="00703C95"/>
    <w:rsid w:val="00705877"/>
    <w:rsid w:val="00705DB1"/>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4BA0"/>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E9B"/>
    <w:rsid w:val="00791F8B"/>
    <w:rsid w:val="00791FCD"/>
    <w:rsid w:val="00793084"/>
    <w:rsid w:val="00794090"/>
    <w:rsid w:val="007942AA"/>
    <w:rsid w:val="00795072"/>
    <w:rsid w:val="00795598"/>
    <w:rsid w:val="0079588A"/>
    <w:rsid w:val="00797336"/>
    <w:rsid w:val="007A3779"/>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2EF1"/>
    <w:rsid w:val="008C51D8"/>
    <w:rsid w:val="008C5B1B"/>
    <w:rsid w:val="008C5BBC"/>
    <w:rsid w:val="008C5E5F"/>
    <w:rsid w:val="008C6131"/>
    <w:rsid w:val="008C6B1C"/>
    <w:rsid w:val="008C6C26"/>
    <w:rsid w:val="008C7695"/>
    <w:rsid w:val="008D04FC"/>
    <w:rsid w:val="008D04FD"/>
    <w:rsid w:val="008D1693"/>
    <w:rsid w:val="008D3A9C"/>
    <w:rsid w:val="008D3BA1"/>
    <w:rsid w:val="008D45CC"/>
    <w:rsid w:val="008D4901"/>
    <w:rsid w:val="008D4E62"/>
    <w:rsid w:val="008D532B"/>
    <w:rsid w:val="008D5E4E"/>
    <w:rsid w:val="008D6D65"/>
    <w:rsid w:val="008D7B6D"/>
    <w:rsid w:val="008E193F"/>
    <w:rsid w:val="008E4DA8"/>
    <w:rsid w:val="008E58B0"/>
    <w:rsid w:val="008E5FDC"/>
    <w:rsid w:val="008E645E"/>
    <w:rsid w:val="008E7723"/>
    <w:rsid w:val="008F151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0EAF"/>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2F51"/>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14"/>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4A63"/>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6138"/>
    <w:rsid w:val="00BA73E2"/>
    <w:rsid w:val="00BA7726"/>
    <w:rsid w:val="00BA77B4"/>
    <w:rsid w:val="00BB027F"/>
    <w:rsid w:val="00BB0D88"/>
    <w:rsid w:val="00BB15FA"/>
    <w:rsid w:val="00BB39C4"/>
    <w:rsid w:val="00BB4139"/>
    <w:rsid w:val="00BB5E23"/>
    <w:rsid w:val="00BB682E"/>
    <w:rsid w:val="00BB6953"/>
    <w:rsid w:val="00BC3589"/>
    <w:rsid w:val="00BC3598"/>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F91"/>
    <w:rsid w:val="00C14290"/>
    <w:rsid w:val="00C16E78"/>
    <w:rsid w:val="00C171C0"/>
    <w:rsid w:val="00C17310"/>
    <w:rsid w:val="00C174FA"/>
    <w:rsid w:val="00C20866"/>
    <w:rsid w:val="00C22B84"/>
    <w:rsid w:val="00C27320"/>
    <w:rsid w:val="00C27BBA"/>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33CB"/>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240"/>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4A76"/>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37EC0"/>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A6"/>
    <w:rsid w:val="00E9257F"/>
    <w:rsid w:val="00E92C46"/>
    <w:rsid w:val="00E93AD8"/>
    <w:rsid w:val="00E94641"/>
    <w:rsid w:val="00E94F47"/>
    <w:rsid w:val="00E96498"/>
    <w:rsid w:val="00E96E44"/>
    <w:rsid w:val="00EA0ECC"/>
    <w:rsid w:val="00EA136B"/>
    <w:rsid w:val="00EA17DA"/>
    <w:rsid w:val="00EA2249"/>
    <w:rsid w:val="00EA2E4F"/>
    <w:rsid w:val="00EA44ED"/>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F04ED"/>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BE5"/>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227"/>
    <w:rsid w:val="00F81ABB"/>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66E"/>
    <w:rsid w:val="00FA0E8E"/>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A03"/>
    <w:rsid w:val="00FB0A42"/>
    <w:rsid w:val="00FB0AA9"/>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aliases w:val="- Bullets Char,목록 단락 Char"/>
    <w:basedOn w:val="a1"/>
    <w:link w:val="af3"/>
    <w:uiPriority w:val="34"/>
    <w:qFormat/>
    <w:locked/>
    <w:rsid w:val="008C2EF1"/>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0A17D-722D-4458-A8AA-9389E0C0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3</Pages>
  <Words>1030</Words>
  <Characters>5872</Characters>
  <Application>Microsoft Office Word</Application>
  <DocSecurity>0</DocSecurity>
  <Lines>48</Lines>
  <Paragraphs>13</Paragraphs>
  <ScaleCrop>false</ScaleCrop>
  <Company>vivo mobile communication co.</Company>
  <LinksUpToDate>false</LinksUpToDate>
  <CharactersWithSpaces>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22</cp:revision>
  <cp:lastPrinted>2008-12-09T03:19:00Z</cp:lastPrinted>
  <dcterms:created xsi:type="dcterms:W3CDTF">2017-11-18T02:15:00Z</dcterms:created>
  <dcterms:modified xsi:type="dcterms:W3CDTF">2018-01-13T02:46:00Z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